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b/>
          <w:sz w:val="48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48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  <w:lang w:eastAsia="zh-CN"/>
        </w:rPr>
        <w:t>应急管理</w:t>
      </w:r>
      <w:r>
        <w:rPr>
          <w:rFonts w:hint="eastAsia" w:ascii="楷体" w:hAnsi="楷体" w:eastAsia="楷体" w:cs="楷体"/>
          <w:b/>
          <w:sz w:val="48"/>
          <w:szCs w:val="48"/>
        </w:rPr>
        <w:t>学院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48"/>
          <w:szCs w:val="48"/>
        </w:rPr>
      </w:pPr>
      <w:r>
        <w:rPr>
          <w:rFonts w:hint="eastAsia" w:ascii="楷体" w:hAnsi="楷体" w:eastAsia="楷体" w:cs="楷体"/>
          <w:b/>
          <w:sz w:val="48"/>
          <w:szCs w:val="48"/>
        </w:rPr>
        <w:t>201</w:t>
      </w:r>
      <w:r>
        <w:rPr>
          <w:rFonts w:hint="eastAsia" w:ascii="楷体" w:hAnsi="楷体" w:eastAsia="楷体" w:cs="楷体"/>
          <w:b/>
          <w:sz w:val="48"/>
          <w:szCs w:val="48"/>
          <w:lang w:val="en-US" w:eastAsia="zh-CN"/>
        </w:rPr>
        <w:t>7</w:t>
      </w:r>
      <w:r>
        <w:rPr>
          <w:rFonts w:hint="eastAsia" w:ascii="楷体" w:hAnsi="楷体" w:eastAsia="楷体" w:cs="楷体"/>
          <w:b/>
          <w:sz w:val="48"/>
          <w:szCs w:val="48"/>
        </w:rPr>
        <w:t>年</w:t>
      </w:r>
      <w:r>
        <w:rPr>
          <w:rFonts w:hint="eastAsia" w:ascii="楷体" w:hAnsi="楷体" w:eastAsia="楷体" w:cs="楷体"/>
          <w:b/>
          <w:sz w:val="48"/>
          <w:szCs w:val="48"/>
          <w:lang w:eastAsia="zh-CN"/>
        </w:rPr>
        <w:t>下</w:t>
      </w:r>
      <w:r>
        <w:rPr>
          <w:rFonts w:hint="eastAsia" w:ascii="楷体" w:hAnsi="楷体" w:eastAsia="楷体" w:cs="楷体"/>
          <w:b/>
          <w:sz w:val="48"/>
          <w:szCs w:val="48"/>
        </w:rPr>
        <w:t>半年工作</w:t>
      </w:r>
      <w:r>
        <w:rPr>
          <w:rFonts w:hint="eastAsia" w:ascii="楷体" w:hAnsi="楷体" w:eastAsia="楷体" w:cs="楷体"/>
          <w:b/>
          <w:sz w:val="48"/>
          <w:szCs w:val="48"/>
          <w:lang w:eastAsia="zh-CN"/>
        </w:rPr>
        <w:t>计划</w:t>
      </w:r>
    </w:p>
    <w:p>
      <w:pPr>
        <w:spacing w:line="360" w:lineRule="auto"/>
        <w:jc w:val="center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rPr>
          <w:rFonts w:hint="eastAsia"/>
          <w:sz w:val="36"/>
          <w:szCs w:val="36"/>
        </w:rPr>
      </w:pPr>
    </w:p>
    <w:p>
      <w:pPr>
        <w:spacing w:line="360" w:lineRule="auto"/>
        <w:jc w:val="center"/>
        <w:rPr>
          <w:rFonts w:hint="eastAsia" w:ascii="楷体" w:hAnsi="楷体" w:eastAsia="楷体" w:cs="楷体"/>
          <w:b/>
          <w:sz w:val="44"/>
          <w:szCs w:val="44"/>
        </w:rPr>
      </w:pPr>
      <w:r>
        <w:rPr>
          <w:rFonts w:hint="eastAsia" w:ascii="楷体" w:hAnsi="楷体" w:eastAsia="楷体" w:cs="楷体"/>
          <w:b/>
          <w:sz w:val="44"/>
          <w:szCs w:val="44"/>
        </w:rPr>
        <w:t>201</w:t>
      </w:r>
      <w:r>
        <w:rPr>
          <w:rFonts w:hint="eastAsia" w:ascii="楷体" w:hAnsi="楷体" w:eastAsia="楷体" w:cs="楷体"/>
          <w:b/>
          <w:sz w:val="44"/>
          <w:szCs w:val="44"/>
          <w:lang w:val="en-US" w:eastAsia="zh-CN"/>
        </w:rPr>
        <w:t>7</w:t>
      </w:r>
      <w:r>
        <w:rPr>
          <w:rFonts w:hint="eastAsia" w:ascii="楷体" w:hAnsi="楷体" w:eastAsia="楷体" w:cs="楷体"/>
          <w:b/>
          <w:sz w:val="44"/>
          <w:szCs w:val="44"/>
        </w:rPr>
        <w:t>年</w:t>
      </w:r>
      <w:r>
        <w:rPr>
          <w:rFonts w:hint="eastAsia" w:ascii="楷体" w:hAnsi="楷体" w:eastAsia="楷体" w:cs="楷体"/>
          <w:b/>
          <w:sz w:val="44"/>
          <w:szCs w:val="44"/>
          <w:lang w:val="en-US" w:eastAsia="zh-CN"/>
        </w:rPr>
        <w:t>8</w:t>
      </w:r>
      <w:r>
        <w:rPr>
          <w:rFonts w:hint="eastAsia" w:ascii="楷体" w:hAnsi="楷体" w:eastAsia="楷体" w:cs="楷体"/>
          <w:b/>
          <w:sz w:val="44"/>
          <w:szCs w:val="44"/>
        </w:rPr>
        <w:t>月</w:t>
      </w:r>
      <w:r>
        <w:rPr>
          <w:rFonts w:hint="eastAsia" w:ascii="楷体" w:hAnsi="楷体" w:eastAsia="楷体" w:cs="楷体"/>
          <w:b/>
          <w:sz w:val="44"/>
          <w:szCs w:val="44"/>
          <w:lang w:val="en-US" w:eastAsia="zh-CN"/>
        </w:rPr>
        <w:t>19</w:t>
      </w:r>
      <w:r>
        <w:rPr>
          <w:rFonts w:hint="eastAsia" w:ascii="楷体" w:hAnsi="楷体" w:eastAsia="楷体" w:cs="楷体"/>
          <w:b/>
          <w:sz w:val="44"/>
          <w:szCs w:val="44"/>
        </w:rPr>
        <w:t>日</w:t>
      </w:r>
    </w:p>
    <w:p>
      <w:pPr>
        <w:spacing w:line="360" w:lineRule="auto"/>
        <w:jc w:val="center"/>
        <w:rPr>
          <w:rFonts w:hint="eastAsia" w:eastAsia="KaiTi_GB2312"/>
          <w:b/>
          <w:szCs w:val="32"/>
        </w:rPr>
      </w:pPr>
    </w:p>
    <w:p>
      <w:pPr>
        <w:spacing w:line="360" w:lineRule="auto"/>
        <w:jc w:val="center"/>
        <w:rPr>
          <w:rFonts w:hint="eastAsia" w:eastAsia="KaiTi_GB2312"/>
          <w:b/>
          <w:szCs w:val="32"/>
        </w:rPr>
      </w:pPr>
    </w:p>
    <w:p>
      <w:pPr>
        <w:spacing w:line="360" w:lineRule="auto"/>
        <w:rPr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spacing w:after="0" w:line="360" w:lineRule="auto"/>
        <w:ind w:firstLine="64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after="0" w:line="360" w:lineRule="auto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在校党委、校行政的正确领导下，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应急管理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学院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2017年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上半年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各项工作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取得了可喜的成绩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。现结合学院实际，提出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2017年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下半年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工作计划。</w:t>
      </w:r>
    </w:p>
    <w:p>
      <w:pPr>
        <w:spacing w:after="0" w:line="360" w:lineRule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根据学校党委相关要求，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继续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扎实开展“两学一做”学习教育活动；结合学校全面从严治党和依法治校自查自纠工作，以案促改，以案促防，努力构建不敢腐、不能腐、不想腐的有效机制。以中国特色社会主义理论体系、党的十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大和习近平总书记系列讲话精神等为重点，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结合学校第二次党代会，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组织好党委中心组、教工（学生）党支部“三会一课”、党日活动和教工（学生）政治理论学习；进一步落实教工党支部和学生党支部一对一帮扶工作机制；按照“围绕发展抓党建、抓好党建促发展”的工作思路，严格履行党风廉政建设党委的主体责任和纪检委员的监督责任，一级抓一级、层层抓落实；认真贯彻落实《河南理工大学党委意识形态工作责任制实施细则》，落实党管意识形态原则，牢牢掌握意识形态工作的领导权主动权，巩固马克思主义在学院意识形态领域的指导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 xml:space="preserve"> 二、本科教学工作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加强本科教学日常管理，强化学院本科教学督导落实。重视专业课程建设，推进学院课程的内涵建设工作。进一步完善本科教学管理制度，特别是课堂管理、考试管理和教研管理。完善本科各类实习的管理，特别是加强实习内容、组织和汇报管理。有效推进听课、座谈及相关反馈制度，切实解决学生上课中的突出问题。协调推进第一课堂和第二课堂机制建设工作，初步扭转学生上课积极性低的问题。推进实验室建设的论证工作。加强实验室的日常管理工作，特别是强化实验室安全管理工作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切实做好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本科审核评估迎评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各项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工作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正将本科教学审核评估的理念贯彻下去。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 xml:space="preserve">    三、科研与国际交流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瞄准安全与应急管理学科的发展前沿，2017年的重点任务依然是高层次科研成果的产出。2017年下半年，将积极组织研究人员申报重大科研项目，逐一把关；力争产生具有较大社会影响和学术价值的标志性成果，具体科研目标是：承担国家自科基金1项，省部级项目2项；发表CSSCI期刊论文8篇以上；出版专著2部；省部级科研奖励二等奖以上1项。</w:t>
      </w: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举办或承办有影响的全国或国际学术会议，加强与兄弟院校的合作，深化与台湾铭传大学、国家行政学院的学术交流。2017年下半年，拟主办国际会议一次，国内会议一次。邀请3位国内外安全与应急管理领域知名专家前来讲学、访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 xml:space="preserve">    四、学科与平台建设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12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以河南省教育厅和河南理工大学的有关文件精神为指导，进一步凝练学科方向，完善研究学科管理的体制与机制建设建立。以创新和贡献为导向的奖励机制，推动学科的科学研究、队伍建设、社会服务等各个方面快速有效地发展。</w:t>
      </w:r>
    </w:p>
    <w:p>
      <w:pPr>
        <w:spacing w:before="156" w:beforeLines="50" w:after="156" w:afterLines="50" w:line="512" w:lineRule="atLeast"/>
        <w:ind w:firstLine="480"/>
        <w:rPr>
          <w:rFonts w:hint="eastAsia" w:ascii="仿宋" w:hAnsi="仿宋" w:eastAsia="仿宋" w:cs="仿宋"/>
          <w:color w:val="auto"/>
          <w:sz w:val="30"/>
          <w:szCs w:val="30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积极与政府、企事业单位开展交流与合作，承担重大委托项目，为应急、环保、交通等与安全、应急管理相关的政府部门提供咨询与高质量服务。2017年下半年，研究中心将继续与河南省食药监局、河南省交通运输管理局、煤炭企业等部门单位开展合作。</w:t>
      </w:r>
    </w:p>
    <w:p>
      <w:pP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五、研究生工作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加强研究生日常管理，强化学院研究生教学督导落实。重视研究生管理制度建设，完善相关制度，并贯彻执行。加强对研究生导师的相关培训。开展研究生定期座谈交流制度。推进研究生学术论坛建设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六、师资队伍建设</w:t>
      </w:r>
    </w:p>
    <w:p>
      <w:pPr>
        <w:spacing w:after="0" w:line="360" w:lineRule="auto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根据学科需求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，切实做好博士及高层次人才引进工作，引进博士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，完成进人计划；做好学院单科进修、国内外访问学者及攻读学位等工作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；结合学院发展与教师个人发展，新增正高、副高职称教师；做好近3年到校的青年教师培养规划，为其配备指导教师，在教学、科研及教书育人等方面进行指导。采取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成员动态开放管理，优胜劣汰。加大力度扶持新成员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,实现学科建设水平的大幅度提升</w:t>
      </w: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，形成老中青结构合理、凝聚力强、研究能力突出的科研梯队。最终实现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以科学研究为基础，培养特色鲜明、结构合理、社会科学与自然科学交叉、具有创新意识的</w:t>
      </w:r>
      <w:r>
        <w:rPr>
          <w:rFonts w:hint="eastAsia" w:ascii="仿宋" w:hAnsi="仿宋" w:eastAsia="仿宋" w:cs="仿宋"/>
          <w:color w:val="auto"/>
          <w:sz w:val="30"/>
          <w:szCs w:val="30"/>
          <w:lang w:val="zh-CN"/>
        </w:rPr>
        <w:t>科研学术团队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。重视项目培育，设立高级别科研项目培训基金，鼓励高层次项目和论文的产出。</w:t>
      </w:r>
    </w:p>
    <w:p>
      <w:pPr>
        <w:spacing w:after="0" w:line="360" w:lineRule="auto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 xml:space="preserve">七、学生工作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spacing w:after="0" w:line="360" w:lineRule="auto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扎实推进学生工作品牌创建工作，力争获辅导员优秀论文奖1项，全省维稳优秀工作案例奖1项，全省反邪教优秀工作案例（含书画等）奖1项，全省思政工作品牌1项。扎实做好全国大学生“创青春”创业大赛和挑战杯“小挑”等赛事组织工作，力争获国家级奖。精心组织，认真筹备，扎实做好2018级新生迎新工作和2014.2015.2016级学生奖助学金和“争先创优”评选工作。 继续做好国家助学贷款催缴工作，力争学院毕业生贷款违约率下降到2%以下。 扎实做好学生安全教育工作，加大对学生宿舍和问题学生排查和跟踪管理，切实维护学院安全稳定。做好学生党员发展工作，确保完成全年学生党员发展工作。 做好2014级学生考研咨询服务工作，力争考研率较2017届有较大幅度增长。继续做好学生工作外宣工作，力争在国家级报刊再发表1篇与学生工作相关的报道。</w:t>
      </w:r>
    </w:p>
    <w:p>
      <w:pPr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 xml:space="preserve"> 八、 财务管理工作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进一步规范学院财务报销制度，进一步明确职责权限，加强风险防控。形成学院财务定期通报机制。督促学院财务预算执行。规范学院财务决算。进一步规范学院二次分配制度。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中共应急管理学院委员会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  应急管理学院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  2017年8月19日</w:t>
      </w:r>
    </w:p>
    <w:p/>
    <w:sectPr>
      <w:pgSz w:w="11906" w:h="16838"/>
      <w:pgMar w:top="1418" w:right="1418" w:bottom="1418" w:left="141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66998"/>
    <w:rsid w:val="1EAB5611"/>
    <w:rsid w:val="226E4017"/>
    <w:rsid w:val="2FE66998"/>
    <w:rsid w:val="60DD3A6F"/>
    <w:rsid w:val="7910479E"/>
    <w:rsid w:val="7DAD0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eastAsia="FangSong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2017-08-19T04:07:00Z</dcterms:created>
  <dc:creator>Administrator</dc:creator>
  <cp:lastModifiedBy>Administrator</cp:lastModifiedBy>
  <dcterms:modified xsi:type="dcterms:W3CDTF">2017-08-19T04:35:09Z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