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 w:cs="楷体"/>
          <w:b/>
          <w:sz w:val="48"/>
          <w:szCs w:val="48"/>
          <w:lang w:eastAsia="zh-CN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sz w:val="48"/>
          <w:szCs w:val="48"/>
          <w:lang w:eastAsia="zh-CN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sz w:val="48"/>
          <w:szCs w:val="48"/>
        </w:rPr>
      </w:pPr>
      <w:r>
        <w:rPr>
          <w:rFonts w:hint="eastAsia" w:ascii="楷体" w:hAnsi="楷体" w:eastAsia="楷体" w:cs="楷体"/>
          <w:b/>
          <w:sz w:val="48"/>
          <w:szCs w:val="48"/>
          <w:lang w:eastAsia="zh-CN"/>
        </w:rPr>
        <w:t>应急管理</w:t>
      </w:r>
      <w:r>
        <w:rPr>
          <w:rFonts w:hint="eastAsia" w:ascii="楷体" w:hAnsi="楷体" w:eastAsia="楷体" w:cs="楷体"/>
          <w:b/>
          <w:sz w:val="48"/>
          <w:szCs w:val="48"/>
        </w:rPr>
        <w:t>学院</w:t>
      </w:r>
    </w:p>
    <w:p>
      <w:pPr>
        <w:spacing w:line="360" w:lineRule="auto"/>
        <w:jc w:val="center"/>
        <w:rPr>
          <w:rFonts w:hint="eastAsia" w:ascii="楷体" w:hAnsi="楷体" w:eastAsia="楷体" w:cs="楷体"/>
          <w:sz w:val="48"/>
          <w:szCs w:val="48"/>
        </w:rPr>
      </w:pPr>
      <w:r>
        <w:rPr>
          <w:rFonts w:hint="eastAsia" w:ascii="楷体" w:hAnsi="楷体" w:eastAsia="楷体" w:cs="楷体"/>
          <w:b/>
          <w:sz w:val="48"/>
          <w:szCs w:val="48"/>
        </w:rPr>
        <w:t>201</w:t>
      </w:r>
      <w:r>
        <w:rPr>
          <w:rFonts w:hint="eastAsia" w:ascii="楷体" w:hAnsi="楷体" w:eastAsia="楷体" w:cs="楷体"/>
          <w:b/>
          <w:sz w:val="48"/>
          <w:szCs w:val="48"/>
          <w:lang w:val="en-US" w:eastAsia="zh-CN"/>
        </w:rPr>
        <w:t>7</w:t>
      </w:r>
      <w:r>
        <w:rPr>
          <w:rFonts w:hint="eastAsia" w:ascii="楷体" w:hAnsi="楷体" w:eastAsia="楷体" w:cs="楷体"/>
          <w:b/>
          <w:sz w:val="48"/>
          <w:szCs w:val="48"/>
        </w:rPr>
        <w:t>年</w:t>
      </w:r>
      <w:r>
        <w:rPr>
          <w:rFonts w:hint="eastAsia" w:ascii="楷体" w:hAnsi="楷体" w:eastAsia="楷体" w:cs="楷体"/>
          <w:b/>
          <w:sz w:val="48"/>
          <w:szCs w:val="48"/>
          <w:lang w:eastAsia="zh-CN"/>
        </w:rPr>
        <w:t>下</w:t>
      </w:r>
      <w:r>
        <w:rPr>
          <w:rFonts w:hint="eastAsia" w:ascii="楷体" w:hAnsi="楷体" w:eastAsia="楷体" w:cs="楷体"/>
          <w:b/>
          <w:sz w:val="48"/>
          <w:szCs w:val="48"/>
        </w:rPr>
        <w:t>半年工作</w:t>
      </w:r>
      <w:r>
        <w:rPr>
          <w:rFonts w:hint="eastAsia" w:ascii="楷体" w:hAnsi="楷体" w:eastAsia="楷体" w:cs="楷体"/>
          <w:b/>
          <w:sz w:val="48"/>
          <w:szCs w:val="48"/>
          <w:lang w:eastAsia="zh-CN"/>
        </w:rPr>
        <w:t>计划</w:t>
      </w:r>
    </w:p>
    <w:p>
      <w:pPr>
        <w:spacing w:line="360" w:lineRule="auto"/>
        <w:jc w:val="center"/>
        <w:rPr>
          <w:rFonts w:hint="eastAsia"/>
          <w:sz w:val="36"/>
          <w:szCs w:val="36"/>
        </w:rPr>
      </w:pPr>
    </w:p>
    <w:p>
      <w:pPr>
        <w:spacing w:line="360" w:lineRule="auto"/>
        <w:rPr>
          <w:rFonts w:hint="eastAsia"/>
          <w:sz w:val="36"/>
          <w:szCs w:val="36"/>
        </w:rPr>
      </w:pPr>
    </w:p>
    <w:p>
      <w:pPr>
        <w:spacing w:line="360" w:lineRule="auto"/>
        <w:rPr>
          <w:rFonts w:hint="eastAsia"/>
          <w:sz w:val="36"/>
          <w:szCs w:val="36"/>
        </w:rPr>
      </w:pPr>
    </w:p>
    <w:p>
      <w:pPr>
        <w:spacing w:line="360" w:lineRule="auto"/>
        <w:rPr>
          <w:rFonts w:hint="eastAsia"/>
          <w:sz w:val="36"/>
          <w:szCs w:val="36"/>
        </w:rPr>
      </w:pPr>
    </w:p>
    <w:p>
      <w:pPr>
        <w:spacing w:line="360" w:lineRule="auto"/>
        <w:rPr>
          <w:rFonts w:hint="eastAsia"/>
          <w:sz w:val="36"/>
          <w:szCs w:val="36"/>
        </w:rPr>
      </w:pPr>
    </w:p>
    <w:p>
      <w:pPr>
        <w:spacing w:line="360" w:lineRule="auto"/>
        <w:rPr>
          <w:rFonts w:hint="eastAsia"/>
          <w:sz w:val="36"/>
          <w:szCs w:val="36"/>
        </w:rPr>
      </w:pPr>
    </w:p>
    <w:p>
      <w:pPr>
        <w:spacing w:line="360" w:lineRule="auto"/>
        <w:rPr>
          <w:rFonts w:hint="eastAsia"/>
          <w:sz w:val="36"/>
          <w:szCs w:val="36"/>
        </w:rPr>
      </w:pPr>
    </w:p>
    <w:p>
      <w:pPr>
        <w:spacing w:line="360" w:lineRule="auto"/>
        <w:rPr>
          <w:rFonts w:hint="eastAsia"/>
          <w:sz w:val="36"/>
          <w:szCs w:val="36"/>
        </w:rPr>
      </w:pPr>
    </w:p>
    <w:p>
      <w:pPr>
        <w:spacing w:line="360" w:lineRule="auto"/>
        <w:rPr>
          <w:rFonts w:hint="eastAsia"/>
          <w:sz w:val="36"/>
          <w:szCs w:val="36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sz w:val="44"/>
          <w:szCs w:val="44"/>
        </w:rPr>
      </w:pPr>
      <w:r>
        <w:rPr>
          <w:rFonts w:hint="eastAsia" w:ascii="楷体" w:hAnsi="楷体" w:eastAsia="楷体" w:cs="楷体"/>
          <w:b/>
          <w:sz w:val="44"/>
          <w:szCs w:val="44"/>
        </w:rPr>
        <w:t>201</w:t>
      </w:r>
      <w:r>
        <w:rPr>
          <w:rFonts w:hint="eastAsia" w:ascii="楷体" w:hAnsi="楷体" w:eastAsia="楷体" w:cs="楷体"/>
          <w:b/>
          <w:sz w:val="44"/>
          <w:szCs w:val="44"/>
          <w:lang w:val="en-US" w:eastAsia="zh-CN"/>
        </w:rPr>
        <w:t>7</w:t>
      </w:r>
      <w:r>
        <w:rPr>
          <w:rFonts w:hint="eastAsia" w:ascii="楷体" w:hAnsi="楷体" w:eastAsia="楷体" w:cs="楷体"/>
          <w:b/>
          <w:sz w:val="44"/>
          <w:szCs w:val="44"/>
        </w:rPr>
        <w:t>年</w:t>
      </w:r>
      <w:r>
        <w:rPr>
          <w:rFonts w:hint="eastAsia" w:ascii="楷体" w:hAnsi="楷体" w:eastAsia="楷体" w:cs="楷体"/>
          <w:b/>
          <w:sz w:val="44"/>
          <w:szCs w:val="44"/>
          <w:lang w:val="en-US" w:eastAsia="zh-CN"/>
        </w:rPr>
        <w:t>8</w:t>
      </w:r>
      <w:r>
        <w:rPr>
          <w:rFonts w:hint="eastAsia" w:ascii="楷体" w:hAnsi="楷体" w:eastAsia="楷体" w:cs="楷体"/>
          <w:b/>
          <w:sz w:val="44"/>
          <w:szCs w:val="44"/>
        </w:rPr>
        <w:t>月</w:t>
      </w:r>
      <w:r>
        <w:rPr>
          <w:rFonts w:hint="eastAsia" w:ascii="楷体" w:hAnsi="楷体" w:eastAsia="楷体" w:cs="楷体"/>
          <w:b/>
          <w:sz w:val="44"/>
          <w:szCs w:val="44"/>
          <w:lang w:val="en-US" w:eastAsia="zh-CN"/>
        </w:rPr>
        <w:t>19</w:t>
      </w:r>
      <w:r>
        <w:rPr>
          <w:rFonts w:hint="eastAsia" w:ascii="楷体" w:hAnsi="楷体" w:eastAsia="楷体" w:cs="楷体"/>
          <w:b/>
          <w:sz w:val="44"/>
          <w:szCs w:val="44"/>
        </w:rPr>
        <w:t>日</w:t>
      </w:r>
    </w:p>
    <w:p>
      <w:pPr>
        <w:spacing w:line="360" w:lineRule="auto"/>
        <w:jc w:val="center"/>
        <w:rPr>
          <w:rFonts w:hint="eastAsia" w:eastAsia="KaiTi_GB2312"/>
          <w:b/>
          <w:szCs w:val="32"/>
        </w:rPr>
      </w:pPr>
    </w:p>
    <w:p>
      <w:pPr>
        <w:spacing w:line="360" w:lineRule="auto"/>
        <w:jc w:val="center"/>
        <w:rPr>
          <w:rFonts w:hint="eastAsia" w:eastAsia="KaiTi_GB2312"/>
          <w:b/>
          <w:szCs w:val="32"/>
        </w:rPr>
      </w:pPr>
    </w:p>
    <w:p>
      <w:pPr>
        <w:spacing w:line="360" w:lineRule="auto"/>
        <w:rPr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418" w:bottom="1418" w:left="1418" w:header="851" w:footer="992" w:gutter="0"/>
          <w:pgNumType w:start="1"/>
          <w:cols w:space="720" w:num="1"/>
          <w:titlePg/>
          <w:docGrid w:linePitch="312" w:charSpace="0"/>
        </w:sectPr>
      </w:pPr>
    </w:p>
    <w:p>
      <w:pPr>
        <w:spacing w:after="0" w:line="360" w:lineRule="auto"/>
        <w:ind w:firstLine="640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after="0" w:line="360" w:lineRule="auto"/>
        <w:ind w:firstLine="64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在校党委、校行政的正确领导下，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应急管理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学院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2017年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上半年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各项工作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取得了可喜的成绩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。现结合学院实际，提出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学院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2017年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下半年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工作计划。</w:t>
      </w:r>
    </w:p>
    <w:p>
      <w:pPr>
        <w:spacing w:after="0" w:line="360" w:lineRule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党建工作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根据学校党委相关要求，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继续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扎实开展“两学一做”学习教育活动；结合学校全面从严治党和依法治校自查自纠工作，以案促改，以案促防，努力构建不敢腐、不能腐、不想腐的有效机制。以中国特色社会主义理论体系、党的十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九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大和习近平总书记系列讲话精神等为重点，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结合学校第二次党代会，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组织好党委中心组、教工（学生）党支部“三会一课”、党日活动和教工（学生）政治理论学习；进一步落实教工党支部和学生党支部一对一帮扶工作机制；按照“围绕发展抓党建、抓好党建促发展”的工作思路，严格履行党风廉政建设党委的主体责任和纪检委员的监督责任，一级抓一级、层层抓落实；认真贯彻落实《河南理工大学党委意识形态工作责任制实施细则》，落实党管意识形态原则，牢牢掌握意识形态工作的领导权主动权，巩固马克思主义在学院意识形态领域的指导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 xml:space="preserve"> 二、本科教学工作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加强本科教学日常管理，强化学院本科教学督导落实。重视专业课程建设，推进学院课程的内涵建设工作。进一步完善本科教学管理制度，特别是课堂管理、考试管理和教研管理。完善本科各类实习的管理，特别是加强实习内容、组织和汇报管理。有效推进听课、座谈及相关反馈制度，切实解决学生上课中的突出问题。协调推进第一课堂和第二课堂机制建设工作，初步扭转学生上课积极性低的问题。推进实验室建设的论证工作。加强实验室的日常管理工作，特别是强化实验室安全管理工作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切实做好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本科审核评估迎评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各项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工作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并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真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正将本科教学审核评估的理念贯彻下去。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 xml:space="preserve">    三、科研与国际交流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瞄准安全与应急管理学科的发展前沿，2017年的重点任务依然是高层次科研成果的产出。2017年下半年，将积极组织研究人员申报重大科研项目，逐一把关；力争产生具有较大社会影响和学术价值的标志性成果，具体科研目标是：承担国家自科基金1项，省部级项目2项；发表CSSCI期刊论文8篇以上；出版专著2部；省部级科研奖励二等奖以上1项。</w:t>
      </w:r>
      <w:r>
        <w:rPr>
          <w:rFonts w:hint="eastAsia" w:ascii="仿宋" w:hAnsi="仿宋" w:eastAsia="仿宋" w:cs="仿宋"/>
          <w:color w:val="auto"/>
          <w:sz w:val="30"/>
          <w:szCs w:val="30"/>
          <w:lang w:val="zh-CN"/>
        </w:rPr>
        <w:t>举办或承办有影响的全国或国际学术会议，加强与兄弟院校的合作，深化与台湾铭传大学、国家行政学院的学术交流。2017年下半年，拟主办国际会议一次，国内会议一次。邀请3位国内外安全与应急管理领域知名专家前来讲学、访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 xml:space="preserve">    四、学科与平台建设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12" w:lineRule="atLeast"/>
        <w:ind w:left="0" w:leftChars="0" w:right="0" w:rightChars="0"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zh-CN"/>
        </w:rPr>
        <w:t>以河南省教育厅和河南理工大学的有关文件精神为指导，进一步凝练学科方向，完善研究学科管理的体制与机制建设建立。以创新和贡献为导向的奖励机制，推动学科的科学研究、队伍建设、社会服务等各个方面快速有效地发展。</w:t>
      </w:r>
    </w:p>
    <w:p>
      <w:pPr>
        <w:spacing w:before="156" w:beforeLines="50" w:after="156" w:afterLines="50" w:line="512" w:lineRule="atLeast"/>
        <w:ind w:firstLine="480"/>
        <w:rPr>
          <w:rFonts w:hint="eastAsia" w:ascii="仿宋" w:hAnsi="仿宋" w:eastAsia="仿宋" w:cs="仿宋"/>
          <w:color w:val="auto"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zh-CN"/>
        </w:rPr>
        <w:t>积极与政府、企事业单位开展交流与合作，承担重大委托项目，为应急、环保、交通等与安全、应急管理相关的政府部门提供咨询与高质量服务。2017年下半年，研究中心将继续与河南省食药监局、河南省交通运输管理局、煤炭企业等部门单位开展合作。</w:t>
      </w:r>
    </w:p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五、研究生工作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加强研究生日常管理，强化学院研究生教学督导落实。重视研究生管理制度建设，完善相关制度，并贯彻执行。加强对研究生导师的相关培训。开展研究生定期座谈交流制度。推进研究生学术论坛建设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六、师资队伍建设</w:t>
      </w:r>
    </w:p>
    <w:p>
      <w:pPr>
        <w:spacing w:after="0" w:line="360" w:lineRule="auto"/>
        <w:ind w:firstLine="64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根据学科需求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要求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，切实做好博士及高层次人才引进工作，引进博士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，完成进人计划；做好学院单科进修、国内外访问学者及攻读学位等工作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；结合学院发展与教师个人发展，新增正高、副高职称教师；做好近3年到校的青年教师培养规划，为其配备指导教师，在教学、科研及教书育人等方面进行指导。采取</w:t>
      </w:r>
      <w:r>
        <w:rPr>
          <w:rFonts w:hint="eastAsia" w:ascii="仿宋" w:hAnsi="仿宋" w:eastAsia="仿宋" w:cs="仿宋"/>
          <w:color w:val="auto"/>
          <w:sz w:val="30"/>
          <w:szCs w:val="30"/>
          <w:lang w:val="zh-CN"/>
        </w:rPr>
        <w:t>成员动态开放管理，优胜劣汰。加大力度扶持新成员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,实现学科建设水平的大幅度提升</w:t>
      </w:r>
      <w:r>
        <w:rPr>
          <w:rFonts w:hint="eastAsia" w:ascii="仿宋" w:hAnsi="仿宋" w:eastAsia="仿宋" w:cs="仿宋"/>
          <w:color w:val="auto"/>
          <w:sz w:val="30"/>
          <w:szCs w:val="30"/>
          <w:lang w:val="zh-CN"/>
        </w:rPr>
        <w:t>，形成老中青结构合理、凝聚力强、研究能力突出的科研梯队。最终实现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以科学研究为基础，培养特色鲜明、结构合理、社会科学与自然科学交叉、具有创新意识的</w:t>
      </w:r>
      <w:r>
        <w:rPr>
          <w:rFonts w:hint="eastAsia" w:ascii="仿宋" w:hAnsi="仿宋" w:eastAsia="仿宋" w:cs="仿宋"/>
          <w:color w:val="auto"/>
          <w:sz w:val="30"/>
          <w:szCs w:val="30"/>
          <w:lang w:val="zh-CN"/>
        </w:rPr>
        <w:t>科研学术团队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。重视项目培育，设立高级别科研项目培训基金，鼓励高层次项目和论文的产出。</w:t>
      </w:r>
    </w:p>
    <w:p>
      <w:pPr>
        <w:spacing w:after="0" w:line="360" w:lineRule="auto"/>
        <w:ind w:firstLine="64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 xml:space="preserve">七、学生工作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spacing w:after="0" w:line="360" w:lineRule="auto"/>
        <w:ind w:firstLine="64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扎实推进学生工作品牌创建工作，力争获辅导员优秀论文奖1项，全省维稳优秀工作案例奖1项，全省反邪教优秀工作案例（含书画等）奖1项，全省思政工作品牌1项。扎实做好全国大学生“创青春”创业大赛和挑战杯“小挑”等赛事组织工作，力争获国家级奖。精心组织，认真筹备，扎实做好2018级新生迎新工作和2014.2015.2016级学生奖助学金和“争先创优”评选工作。 继续做好国家助学贷款催缴工作，力争学院毕业生贷款违约率下降到2%以下。 扎实做好学生安全教育工作，加大对学生宿舍和问题学生排查和跟踪管理，切实维护学院安全稳定。做好学生党员发展工作，确保完成全年学生党员发展工作。 做好2014级学生考研咨询服务工作，力争考研率较2017届有较大幅度增长。继续做好学生工作外宣工作，力争在国家级报刊再发表1篇与学生工作相关的报道。</w:t>
      </w:r>
    </w:p>
    <w:p>
      <w:pPr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 xml:space="preserve"> 八、 财务管理工作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进一步规范学院财务报销制度，进一步明确职责权限，加强风险防控。形成学院财务定期通报机制。督促学院财务预算执行。规范学院财务决算。进一步规范学院二次分配制度。</w:t>
      </w:r>
    </w:p>
    <w:p>
      <w:pPr>
        <w:numPr>
          <w:numId w:val="0"/>
        </w:numPr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中共应急管理学院委员会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   应急管理学院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 2017年8月19日</w:t>
      </w:r>
    </w:p>
    <w:p/>
    <w:sectPr>
      <w:pgSz w:w="11906" w:h="16838"/>
      <w:pgMar w:top="1418" w:right="1418" w:bottom="1418" w:left="1418" w:header="851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11</w:t>
    </w:r>
    <w:r>
      <w:fldChar w:fldCharType="end"/>
    </w:r>
  </w:p>
  <w:p>
    <w:pPr>
      <w:pStyle w:val="2"/>
      <w:ind w:right="360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66998"/>
    <w:rsid w:val="1EAB5611"/>
    <w:rsid w:val="226E4017"/>
    <w:rsid w:val="2FE66998"/>
    <w:rsid w:val="60DD3A6F"/>
    <w:rsid w:val="7910479E"/>
    <w:rsid w:val="7DAD04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FangSong_GB2312" w:eastAsia="FangSong_GB2312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2017-08-19T04:07:00Z</dcterms:created>
  <dc:creator>Administrator</dc:creator>
  <cp:lastModifiedBy>Administrator</cp:lastModifiedBy>
  <dcterms:modified xsi:type="dcterms:W3CDTF">2017-08-19T04:35:09Z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