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eastAsia="方正小标宋简体"/>
          <w:sz w:val="32"/>
          <w:szCs w:val="32"/>
          <w:lang w:val="zh-CN"/>
        </w:rPr>
      </w:pPr>
      <w:r>
        <w:rPr>
          <w:rFonts w:hint="eastAsia" w:ascii="方正小标宋简体" w:eastAsia="方正小标宋简体"/>
          <w:sz w:val="44"/>
          <w:szCs w:val="44"/>
          <w:u w:val="single"/>
        </w:rPr>
        <w:t xml:space="preserve"> 应急管理学院</w:t>
      </w:r>
      <w:r>
        <w:rPr>
          <w:rFonts w:hint="eastAsia" w:ascii="方正小标宋简体" w:eastAsia="方正小标宋简体"/>
          <w:sz w:val="44"/>
          <w:szCs w:val="44"/>
        </w:rPr>
        <w:t>以案促改工作问题清单及风险点</w:t>
      </w:r>
    </w:p>
    <w:p>
      <w:pPr>
        <w:ind w:firstLine="360" w:firstLineChars="150"/>
        <w:rPr>
          <w:rFonts w:ascii="楷体_GB2312" w:eastAsia="楷体_GB2312"/>
          <w:sz w:val="24"/>
        </w:rPr>
      </w:pPr>
    </w:p>
    <w:p>
      <w:pPr>
        <w:ind w:firstLine="360" w:firstLineChars="150"/>
        <w:rPr>
          <w:rFonts w:ascii="楷体_GB2312" w:eastAsia="楷体_GB2312"/>
          <w:sz w:val="24"/>
        </w:rPr>
      </w:pPr>
      <w:r>
        <w:rPr>
          <w:rFonts w:hint="eastAsia" w:ascii="楷体_GB2312" w:eastAsia="楷体_GB2312"/>
          <w:sz w:val="24"/>
        </w:rPr>
        <w:t>填报单位：</w:t>
      </w:r>
      <w:r>
        <w:rPr>
          <w:rFonts w:hint="eastAsia" w:ascii="楷体_GB2312" w:eastAsia="楷体_GB2312"/>
          <w:sz w:val="24"/>
          <w:lang w:eastAsia="zh-CN"/>
        </w:rPr>
        <w:t>应急管理学院</w:t>
      </w:r>
      <w:r>
        <w:rPr>
          <w:rFonts w:hint="eastAsia" w:ascii="楷体_GB2312" w:eastAsia="楷体_GB2312"/>
          <w:sz w:val="24"/>
          <w:lang w:val="en-US" w:eastAsia="zh-CN"/>
        </w:rPr>
        <w:t xml:space="preserve">                      </w:t>
      </w:r>
      <w:r>
        <w:rPr>
          <w:rFonts w:hint="eastAsia" w:ascii="楷体_GB2312" w:eastAsia="楷体_GB2312"/>
          <w:sz w:val="24"/>
        </w:rPr>
        <w:t xml:space="preserve">                             填表时间：2018年10月20日</w:t>
      </w:r>
    </w:p>
    <w:tbl>
      <w:tblPr>
        <w:tblStyle w:val="3"/>
        <w:tblW w:w="14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5453"/>
        <w:gridCol w:w="1175"/>
        <w:gridCol w:w="5714"/>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928" w:type="dxa"/>
            <w:gridSpan w:val="2"/>
            <w:vAlign w:val="center"/>
          </w:tcPr>
          <w:p>
            <w:pPr>
              <w:snapToGrid w:val="0"/>
              <w:jc w:val="center"/>
              <w:rPr>
                <w:rFonts w:ascii="黑体" w:hAnsi="黑体" w:eastAsia="黑体"/>
                <w:b/>
                <w:spacing w:val="-12"/>
                <w:sz w:val="24"/>
              </w:rPr>
            </w:pPr>
            <w:r>
              <w:rPr>
                <w:rFonts w:hint="eastAsia" w:ascii="黑体" w:hAnsi="黑体" w:eastAsia="黑体"/>
                <w:b/>
                <w:spacing w:val="-12"/>
                <w:sz w:val="24"/>
              </w:rPr>
              <w:t>问题清单</w:t>
            </w:r>
          </w:p>
        </w:tc>
        <w:tc>
          <w:tcPr>
            <w:tcW w:w="1175" w:type="dxa"/>
            <w:vAlign w:val="center"/>
          </w:tcPr>
          <w:p>
            <w:pPr>
              <w:snapToGrid w:val="0"/>
              <w:jc w:val="center"/>
              <w:rPr>
                <w:rFonts w:hint="eastAsia" w:ascii="黑体" w:hAnsi="黑体" w:eastAsia="黑体"/>
                <w:b/>
                <w:spacing w:val="-12"/>
                <w:sz w:val="24"/>
                <w:lang w:eastAsia="zh-CN"/>
              </w:rPr>
            </w:pPr>
            <w:r>
              <w:rPr>
                <w:rFonts w:hint="eastAsia" w:ascii="黑体" w:hAnsi="黑体" w:eastAsia="黑体"/>
                <w:b/>
                <w:spacing w:val="-12"/>
                <w:sz w:val="24"/>
                <w:lang w:eastAsia="zh-CN"/>
              </w:rPr>
              <w:t>责任单位</w:t>
            </w:r>
          </w:p>
        </w:tc>
        <w:tc>
          <w:tcPr>
            <w:tcW w:w="5714" w:type="dxa"/>
            <w:vAlign w:val="center"/>
          </w:tcPr>
          <w:p>
            <w:pPr>
              <w:snapToGrid w:val="0"/>
              <w:jc w:val="center"/>
              <w:rPr>
                <w:rFonts w:ascii="黑体" w:hAnsi="黑体" w:eastAsia="黑体"/>
                <w:b/>
                <w:spacing w:val="-12"/>
                <w:sz w:val="24"/>
              </w:rPr>
            </w:pPr>
            <w:r>
              <w:rPr>
                <w:rFonts w:hint="eastAsia" w:ascii="黑体" w:hAnsi="黑体" w:eastAsia="黑体"/>
                <w:b/>
                <w:spacing w:val="-12"/>
                <w:sz w:val="24"/>
              </w:rPr>
              <w:t>整改措施</w:t>
            </w:r>
          </w:p>
        </w:tc>
        <w:tc>
          <w:tcPr>
            <w:tcW w:w="1636" w:type="dxa"/>
            <w:vAlign w:val="center"/>
          </w:tcPr>
          <w:p>
            <w:pPr>
              <w:snapToGrid w:val="0"/>
              <w:jc w:val="center"/>
              <w:rPr>
                <w:rFonts w:ascii="黑体" w:hAnsi="黑体" w:eastAsia="黑体"/>
                <w:b/>
                <w:spacing w:val="-12"/>
                <w:sz w:val="24"/>
              </w:rPr>
            </w:pPr>
            <w:r>
              <w:rPr>
                <w:rFonts w:hint="eastAsia" w:ascii="黑体" w:hAnsi="黑体" w:eastAsia="黑体"/>
                <w:b/>
                <w:spacing w:val="-12"/>
                <w:sz w:val="24"/>
              </w:rPr>
              <w:t>是否整改完成</w:t>
            </w:r>
          </w:p>
          <w:p>
            <w:pPr>
              <w:snapToGrid w:val="0"/>
              <w:jc w:val="center"/>
              <w:rPr>
                <w:rFonts w:ascii="黑体" w:hAnsi="黑体" w:eastAsia="黑体"/>
                <w:b/>
                <w:spacing w:val="-12"/>
                <w:sz w:val="24"/>
              </w:rPr>
            </w:pPr>
            <w:r>
              <w:rPr>
                <w:rFonts w:hint="eastAsia" w:ascii="黑体" w:hAnsi="黑体" w:eastAsia="黑体"/>
                <w:b/>
                <w:spacing w:val="-12"/>
                <w:sz w:val="24"/>
              </w:rPr>
              <w:t>（未完成的填时限）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475" w:type="dxa"/>
            <w:vAlign w:val="center"/>
          </w:tcPr>
          <w:p>
            <w:pPr>
              <w:snapToGrid w:val="0"/>
              <w:jc w:val="center"/>
              <w:rPr>
                <w:spacing w:val="-12"/>
                <w:sz w:val="24"/>
              </w:rPr>
            </w:pPr>
            <w:r>
              <w:rPr>
                <w:rFonts w:hint="eastAsia"/>
                <w:spacing w:val="-12"/>
                <w:sz w:val="24"/>
              </w:rPr>
              <w:t>1</w:t>
            </w:r>
          </w:p>
        </w:tc>
        <w:tc>
          <w:tcPr>
            <w:tcW w:w="5453" w:type="dxa"/>
            <w:vAlign w:val="center"/>
          </w:tcPr>
          <w:p>
            <w:pPr>
              <w:snapToGrid w:val="0"/>
              <w:ind w:firstLine="432" w:firstLineChars="200"/>
              <w:jc w:val="both"/>
              <w:rPr>
                <w:rFonts w:hint="eastAsia" w:ascii="仿宋" w:hAnsi="仿宋" w:eastAsia="仿宋" w:cs="仿宋"/>
                <w:color w:val="auto"/>
                <w:spacing w:val="-12"/>
                <w:sz w:val="24"/>
                <w:lang w:eastAsia="zh-CN"/>
              </w:rPr>
            </w:pPr>
            <w:r>
              <w:rPr>
                <w:rFonts w:hint="eastAsia" w:ascii="仿宋" w:hAnsi="仿宋" w:eastAsia="仿宋" w:cs="仿宋"/>
                <w:color w:val="auto"/>
                <w:spacing w:val="-12"/>
                <w:sz w:val="24"/>
                <w:lang w:eastAsia="zh-CN"/>
              </w:rPr>
              <w:t>物资采购、设备采购、小型维修改造需进一步规范。</w:t>
            </w:r>
          </w:p>
        </w:tc>
        <w:tc>
          <w:tcPr>
            <w:tcW w:w="1175" w:type="dxa"/>
            <w:vAlign w:val="center"/>
          </w:tcPr>
          <w:p>
            <w:pPr>
              <w:snapToGrid w:val="0"/>
              <w:jc w:val="center"/>
              <w:rPr>
                <w:rFonts w:hint="eastAsia" w:ascii="仿宋" w:hAnsi="仿宋" w:eastAsia="仿宋" w:cs="仿宋"/>
                <w:color w:val="auto"/>
                <w:spacing w:val="-12"/>
                <w:sz w:val="24"/>
                <w:lang w:eastAsia="zh-CN"/>
              </w:rPr>
            </w:pPr>
            <w:r>
              <w:rPr>
                <w:rFonts w:hint="eastAsia" w:ascii="仿宋" w:hAnsi="仿宋" w:eastAsia="仿宋" w:cs="仿宋"/>
                <w:color w:val="auto"/>
                <w:spacing w:val="-12"/>
                <w:sz w:val="24"/>
                <w:lang w:eastAsia="zh-CN"/>
              </w:rPr>
              <w:t>党政办</w:t>
            </w:r>
          </w:p>
          <w:p>
            <w:pPr>
              <w:snapToGrid w:val="0"/>
              <w:jc w:val="center"/>
              <w:rPr>
                <w:rFonts w:hint="eastAsia" w:ascii="仿宋" w:hAnsi="仿宋" w:eastAsia="仿宋" w:cs="仿宋"/>
                <w:color w:val="auto"/>
                <w:spacing w:val="-12"/>
                <w:sz w:val="24"/>
                <w:lang w:eastAsia="zh-CN"/>
              </w:rPr>
            </w:pPr>
            <w:r>
              <w:rPr>
                <w:rFonts w:hint="eastAsia" w:ascii="仿宋" w:hAnsi="仿宋" w:eastAsia="仿宋" w:cs="仿宋"/>
                <w:color w:val="auto"/>
                <w:spacing w:val="-12"/>
                <w:sz w:val="24"/>
                <w:lang w:eastAsia="zh-CN"/>
              </w:rPr>
              <w:t>各科室</w:t>
            </w:r>
          </w:p>
        </w:tc>
        <w:tc>
          <w:tcPr>
            <w:tcW w:w="5714" w:type="dxa"/>
            <w:vAlign w:val="center"/>
          </w:tcPr>
          <w:p>
            <w:pPr>
              <w:snapToGrid w:val="0"/>
              <w:ind w:firstLine="432" w:firstLineChars="200"/>
              <w:jc w:val="left"/>
              <w:rPr>
                <w:rFonts w:hint="eastAsia" w:ascii="仿宋" w:hAnsi="仿宋" w:eastAsia="仿宋" w:cs="仿宋"/>
                <w:color w:val="auto"/>
                <w:spacing w:val="-12"/>
                <w:sz w:val="24"/>
              </w:rPr>
            </w:pPr>
            <w:r>
              <w:rPr>
                <w:rFonts w:hint="eastAsia" w:ascii="仿宋" w:hAnsi="仿宋" w:eastAsia="仿宋" w:cs="仿宋"/>
                <w:color w:val="auto"/>
                <w:spacing w:val="-12"/>
                <w:sz w:val="24"/>
                <w:lang w:eastAsia="zh-CN"/>
              </w:rPr>
              <w:t>严格执行学校、学院财务制度，三重一大严格执行学院工作规程。</w:t>
            </w:r>
          </w:p>
        </w:tc>
        <w:tc>
          <w:tcPr>
            <w:tcW w:w="1636" w:type="dxa"/>
            <w:vAlign w:val="center"/>
          </w:tcPr>
          <w:p>
            <w:pPr>
              <w:snapToGrid w:val="0"/>
              <w:jc w:val="center"/>
              <w:rPr>
                <w:rFonts w:hint="eastAsia" w:ascii="仿宋" w:hAnsi="仿宋" w:eastAsia="仿宋" w:cs="仿宋"/>
                <w:color w:val="auto"/>
                <w:spacing w:val="-12"/>
                <w:sz w:val="24"/>
                <w:lang w:eastAsia="zh-CN"/>
              </w:rPr>
            </w:pPr>
            <w:r>
              <w:rPr>
                <w:rFonts w:hint="eastAsia" w:ascii="仿宋" w:hAnsi="仿宋" w:eastAsia="仿宋" w:cs="仿宋"/>
                <w:color w:val="auto"/>
                <w:spacing w:val="-12"/>
                <w:sz w:val="24"/>
                <w:lang w:eastAsia="zh-CN"/>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jc w:val="center"/>
        </w:trPr>
        <w:tc>
          <w:tcPr>
            <w:tcW w:w="475" w:type="dxa"/>
            <w:vAlign w:val="center"/>
          </w:tcPr>
          <w:p>
            <w:pPr>
              <w:snapToGrid w:val="0"/>
              <w:jc w:val="center"/>
              <w:rPr>
                <w:color w:val="FF0000"/>
                <w:spacing w:val="-12"/>
                <w:sz w:val="24"/>
              </w:rPr>
            </w:pPr>
            <w:r>
              <w:rPr>
                <w:rFonts w:hint="eastAsia"/>
                <w:color w:val="auto"/>
                <w:spacing w:val="-12"/>
                <w:sz w:val="24"/>
              </w:rPr>
              <w:t>2</w:t>
            </w:r>
          </w:p>
        </w:tc>
        <w:tc>
          <w:tcPr>
            <w:tcW w:w="5453" w:type="dxa"/>
            <w:vAlign w:val="center"/>
          </w:tcPr>
          <w:p>
            <w:pPr>
              <w:snapToGrid w:val="0"/>
              <w:ind w:firstLine="432" w:firstLineChars="20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本科教学重视程度不够，有的老师不愿承担教学任务。本科教学期中检查推优不够严肃，存在随意凑数现象。</w:t>
            </w:r>
          </w:p>
        </w:tc>
        <w:tc>
          <w:tcPr>
            <w:tcW w:w="1175"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教务办</w:t>
            </w:r>
          </w:p>
        </w:tc>
        <w:tc>
          <w:tcPr>
            <w:tcW w:w="5714" w:type="dxa"/>
            <w:vAlign w:val="center"/>
          </w:tcPr>
          <w:p>
            <w:pPr>
              <w:snapToGrid w:val="0"/>
              <w:ind w:firstLine="432" w:firstLineChars="20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制定加强本科教学的意见，从评职称、分配等方面向本科教学倾斜。本科评教推优报送能者优者，宁缺毋滥。</w:t>
            </w:r>
          </w:p>
        </w:tc>
        <w:tc>
          <w:tcPr>
            <w:tcW w:w="1636" w:type="dxa"/>
            <w:vAlign w:val="center"/>
          </w:tcPr>
          <w:p>
            <w:pPr>
              <w:snapToGrid w:val="0"/>
              <w:jc w:val="center"/>
              <w:rPr>
                <w:rFonts w:hint="eastAsia" w:ascii="仿宋" w:hAnsi="仿宋" w:eastAsia="仿宋" w:cs="仿宋"/>
                <w:color w:val="auto"/>
                <w:spacing w:val="-12"/>
                <w:sz w:val="24"/>
              </w:rPr>
            </w:pPr>
            <w:r>
              <w:rPr>
                <w:rFonts w:hint="eastAsia" w:ascii="仿宋" w:hAnsi="仿宋" w:eastAsia="仿宋" w:cs="仿宋"/>
                <w:color w:val="auto"/>
                <w:spacing w:val="-12"/>
                <w:sz w:val="24"/>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475" w:type="dxa"/>
            <w:vAlign w:val="center"/>
          </w:tcPr>
          <w:p>
            <w:pPr>
              <w:snapToGrid w:val="0"/>
              <w:jc w:val="center"/>
              <w:rPr>
                <w:rFonts w:hint="eastAsia" w:eastAsiaTheme="minorEastAsia"/>
                <w:color w:val="auto"/>
                <w:spacing w:val="-12"/>
                <w:sz w:val="24"/>
                <w:lang w:eastAsia="zh-CN"/>
              </w:rPr>
            </w:pPr>
            <w:r>
              <w:rPr>
                <w:rFonts w:hint="eastAsia"/>
                <w:spacing w:val="-12"/>
                <w:sz w:val="24"/>
                <w:lang w:val="en-US" w:eastAsia="zh-CN"/>
              </w:rPr>
              <w:t>3</w:t>
            </w:r>
          </w:p>
        </w:tc>
        <w:tc>
          <w:tcPr>
            <w:tcW w:w="5453" w:type="dxa"/>
            <w:vAlign w:val="center"/>
          </w:tcPr>
          <w:p>
            <w:pPr>
              <w:snapToGrid w:val="0"/>
              <w:ind w:firstLine="432" w:firstLineChars="20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人才引进困难</w:t>
            </w:r>
          </w:p>
        </w:tc>
        <w:tc>
          <w:tcPr>
            <w:tcW w:w="1175"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院领导</w:t>
            </w:r>
          </w:p>
        </w:tc>
        <w:tc>
          <w:tcPr>
            <w:tcW w:w="5714" w:type="dxa"/>
            <w:vAlign w:val="center"/>
          </w:tcPr>
          <w:p>
            <w:pPr>
              <w:snapToGrid w:val="0"/>
              <w:ind w:firstLine="432" w:firstLineChars="20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采取柔性引进的办法，从南大等一流高校引进实用人才。</w:t>
            </w:r>
          </w:p>
        </w:tc>
        <w:tc>
          <w:tcPr>
            <w:tcW w:w="1636" w:type="dxa"/>
            <w:vAlign w:val="center"/>
          </w:tcPr>
          <w:p>
            <w:pPr>
              <w:snapToGrid w:val="0"/>
              <w:jc w:val="center"/>
              <w:rPr>
                <w:rFonts w:hint="eastAsia" w:ascii="仿宋" w:hAnsi="仿宋" w:eastAsia="仿宋" w:cs="仿宋"/>
                <w:color w:val="auto"/>
                <w:spacing w:val="-12"/>
                <w:sz w:val="24"/>
              </w:rPr>
            </w:pPr>
            <w:r>
              <w:rPr>
                <w:rFonts w:hint="eastAsia" w:ascii="仿宋" w:hAnsi="仿宋" w:eastAsia="仿宋" w:cs="仿宋"/>
                <w:color w:val="auto"/>
                <w:spacing w:val="-12"/>
                <w:sz w:val="24"/>
              </w:rPr>
              <w:t>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jc w:val="center"/>
        </w:trPr>
        <w:tc>
          <w:tcPr>
            <w:tcW w:w="475" w:type="dxa"/>
            <w:vAlign w:val="center"/>
          </w:tcPr>
          <w:p>
            <w:pPr>
              <w:snapToGrid w:val="0"/>
              <w:jc w:val="center"/>
              <w:rPr>
                <w:rFonts w:hint="eastAsia" w:eastAsiaTheme="minorEastAsia"/>
                <w:spacing w:val="-12"/>
                <w:sz w:val="24"/>
                <w:lang w:val="en-US" w:eastAsia="zh-CN"/>
              </w:rPr>
            </w:pPr>
            <w:r>
              <w:rPr>
                <w:rFonts w:hint="eastAsia"/>
                <w:spacing w:val="-12"/>
                <w:sz w:val="24"/>
                <w:lang w:val="en-US" w:eastAsia="zh-CN"/>
              </w:rPr>
              <w:t>4</w:t>
            </w:r>
          </w:p>
        </w:tc>
        <w:tc>
          <w:tcPr>
            <w:tcW w:w="5453" w:type="dxa"/>
            <w:vAlign w:val="center"/>
          </w:tcPr>
          <w:p>
            <w:pPr>
              <w:snapToGrid w:val="0"/>
              <w:ind w:firstLine="432" w:firstLineChars="200"/>
              <w:jc w:val="left"/>
              <w:rPr>
                <w:rFonts w:hint="eastAsia" w:ascii="仿宋" w:hAnsi="仿宋" w:eastAsia="仿宋" w:cs="仿宋"/>
                <w:color w:val="auto"/>
                <w:spacing w:val="-12"/>
                <w:sz w:val="24"/>
              </w:rPr>
            </w:pPr>
            <w:r>
              <w:rPr>
                <w:rFonts w:hint="eastAsia" w:ascii="仿宋" w:hAnsi="仿宋" w:eastAsia="仿宋" w:cs="仿宋"/>
                <w:color w:val="auto"/>
                <w:spacing w:val="-12"/>
                <w:sz w:val="24"/>
                <w:lang w:val="en-US" w:eastAsia="zh-CN"/>
              </w:rPr>
              <w:t>学生评先评优工作：学生资助政策宣传力度、奖助学金评选精准化有待进一步提升。</w:t>
            </w:r>
          </w:p>
        </w:tc>
        <w:tc>
          <w:tcPr>
            <w:tcW w:w="1175"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学工办</w:t>
            </w:r>
          </w:p>
        </w:tc>
        <w:tc>
          <w:tcPr>
            <w:tcW w:w="5714" w:type="dxa"/>
            <w:vAlign w:val="center"/>
          </w:tcPr>
          <w:p>
            <w:pPr>
              <w:snapToGrid w:val="0"/>
              <w:ind w:firstLine="432" w:firstLineChars="200"/>
              <w:jc w:val="left"/>
              <w:rPr>
                <w:rFonts w:hint="eastAsia" w:ascii="仿宋" w:hAnsi="仿宋" w:eastAsia="仿宋" w:cs="仿宋"/>
                <w:color w:val="auto"/>
                <w:spacing w:val="-12"/>
                <w:sz w:val="24"/>
              </w:rPr>
            </w:pPr>
            <w:r>
              <w:rPr>
                <w:rFonts w:hint="eastAsia" w:ascii="仿宋" w:hAnsi="仿宋" w:eastAsia="仿宋" w:cs="仿宋"/>
                <w:color w:val="auto"/>
                <w:spacing w:val="-12"/>
                <w:sz w:val="24"/>
                <w:lang w:val="en-US" w:eastAsia="zh-CN"/>
              </w:rPr>
              <w:t>增加资助政策宣传力度，利用学院网站、微信公众号、学生QQ群、主题班会、新生入学教育等方式，线上线下多渠道开展宣传工作；修订学院奖助学金评选办法，补充相关学生奖励加分规定，制定困难学生认定量化考评标准，进一步增加奖助学金评选的精准性。</w:t>
            </w:r>
          </w:p>
        </w:tc>
        <w:tc>
          <w:tcPr>
            <w:tcW w:w="1636" w:type="dxa"/>
            <w:vAlign w:val="center"/>
          </w:tcPr>
          <w:p>
            <w:pPr>
              <w:snapToGrid w:val="0"/>
              <w:jc w:val="center"/>
              <w:rPr>
                <w:rFonts w:hint="eastAsia" w:ascii="仿宋" w:hAnsi="仿宋" w:eastAsia="仿宋" w:cs="仿宋"/>
                <w:color w:val="auto"/>
                <w:spacing w:val="-12"/>
                <w:sz w:val="24"/>
              </w:rPr>
            </w:pPr>
            <w:r>
              <w:rPr>
                <w:rFonts w:hint="eastAsia" w:ascii="仿宋" w:hAnsi="仿宋" w:eastAsia="仿宋" w:cs="仿宋"/>
                <w:color w:val="auto"/>
                <w:spacing w:val="-12"/>
                <w:sz w:val="24"/>
                <w:lang w:val="en-US" w:eastAsia="zh-CN"/>
              </w:rPr>
              <w:t xml:space="preserve">10月31日         </w:t>
            </w:r>
          </w:p>
          <w:p>
            <w:pPr>
              <w:jc w:val="center"/>
              <w:rPr>
                <w:rFonts w:hint="eastAsia" w:ascii="仿宋" w:hAnsi="仿宋" w:eastAsia="仿宋" w:cs="仿宋"/>
                <w:color w:val="auto"/>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3" w:hRule="atLeast"/>
          <w:jc w:val="center"/>
        </w:trPr>
        <w:tc>
          <w:tcPr>
            <w:tcW w:w="475" w:type="dxa"/>
            <w:vAlign w:val="center"/>
          </w:tcPr>
          <w:p>
            <w:pPr>
              <w:snapToGrid w:val="0"/>
              <w:jc w:val="center"/>
              <w:rPr>
                <w:rFonts w:hint="eastAsia" w:eastAsiaTheme="minorEastAsia"/>
                <w:spacing w:val="-12"/>
                <w:sz w:val="24"/>
                <w:lang w:eastAsia="zh-CN"/>
              </w:rPr>
            </w:pPr>
            <w:r>
              <w:rPr>
                <w:rFonts w:hint="eastAsia"/>
                <w:spacing w:val="-12"/>
                <w:sz w:val="24"/>
                <w:lang w:val="en-US" w:eastAsia="zh-CN"/>
              </w:rPr>
              <w:t>5</w:t>
            </w:r>
          </w:p>
        </w:tc>
        <w:tc>
          <w:tcPr>
            <w:tcW w:w="5453" w:type="dxa"/>
            <w:vAlign w:val="center"/>
          </w:tcPr>
          <w:p>
            <w:pPr>
              <w:snapToGrid w:val="0"/>
              <w:ind w:firstLine="432" w:firstLineChars="200"/>
              <w:jc w:val="left"/>
              <w:rPr>
                <w:rFonts w:hint="eastAsia" w:ascii="仿宋" w:hAnsi="仿宋" w:eastAsia="仿宋" w:cs="仿宋"/>
                <w:color w:val="auto"/>
                <w:spacing w:val="-12"/>
                <w:sz w:val="24"/>
              </w:rPr>
            </w:pPr>
            <w:r>
              <w:rPr>
                <w:rFonts w:hint="eastAsia" w:ascii="仿宋" w:hAnsi="仿宋" w:eastAsia="仿宋" w:cs="仿宋"/>
                <w:color w:val="auto"/>
                <w:spacing w:val="-12"/>
                <w:sz w:val="24"/>
                <w:lang w:val="en-US" w:eastAsia="zh-CN"/>
              </w:rPr>
              <w:t>学生党建工作：政治引领作用发挥不突出，组织生活质量不高，学生党日活动形式还较为单一。</w:t>
            </w:r>
            <w:bookmarkStart w:id="0" w:name="_GoBack"/>
            <w:bookmarkEnd w:id="0"/>
          </w:p>
        </w:tc>
        <w:tc>
          <w:tcPr>
            <w:tcW w:w="1175"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学工办</w:t>
            </w:r>
          </w:p>
        </w:tc>
        <w:tc>
          <w:tcPr>
            <w:tcW w:w="5714" w:type="dxa"/>
            <w:vAlign w:val="center"/>
          </w:tcPr>
          <w:p>
            <w:pPr>
              <w:snapToGrid w:val="0"/>
              <w:ind w:firstLine="432" w:firstLineChars="200"/>
              <w:jc w:val="left"/>
              <w:rPr>
                <w:rFonts w:hint="eastAsia" w:ascii="仿宋" w:hAnsi="仿宋" w:eastAsia="仿宋" w:cs="仿宋"/>
                <w:color w:val="auto"/>
                <w:spacing w:val="-12"/>
                <w:sz w:val="24"/>
              </w:rPr>
            </w:pPr>
            <w:r>
              <w:rPr>
                <w:rFonts w:hint="eastAsia" w:ascii="仿宋" w:hAnsi="仿宋" w:eastAsia="仿宋" w:cs="仿宋"/>
                <w:color w:val="auto"/>
                <w:spacing w:val="-12"/>
                <w:sz w:val="24"/>
                <w:lang w:val="en-US" w:eastAsia="zh-CN"/>
              </w:rPr>
              <w:t>强化班级政治论学习和三会一课制度的督查工作，安排辅导员督查、学生会纪检部定期检查，严格学生组织生活纪律意识，主动引导学生党支部与学院专业相结合，提升党日活动的吸引力和参与性，寓教于乐，寓教于学。</w:t>
            </w:r>
          </w:p>
        </w:tc>
        <w:tc>
          <w:tcPr>
            <w:tcW w:w="1636" w:type="dxa"/>
            <w:vAlign w:val="center"/>
          </w:tcPr>
          <w:p>
            <w:pPr>
              <w:jc w:val="center"/>
              <w:rPr>
                <w:rFonts w:hint="eastAsia" w:ascii="仿宋" w:hAnsi="仿宋" w:eastAsia="仿宋" w:cs="仿宋"/>
                <w:iCs/>
                <w:color w:val="auto"/>
                <w:sz w:val="24"/>
              </w:rPr>
            </w:pPr>
            <w:r>
              <w:rPr>
                <w:rFonts w:hint="eastAsia" w:ascii="仿宋" w:hAnsi="仿宋" w:eastAsia="仿宋" w:cs="仿宋"/>
                <w:iCs/>
                <w:color w:val="auto"/>
                <w:sz w:val="24"/>
                <w:lang w:val="en-US" w:eastAsia="zh-CN"/>
              </w:rPr>
              <w:t xml:space="preserve">11月30 日 </w:t>
            </w:r>
          </w:p>
          <w:p>
            <w:pPr>
              <w:jc w:val="center"/>
              <w:rPr>
                <w:rFonts w:hint="eastAsia" w:ascii="仿宋" w:hAnsi="仿宋" w:eastAsia="仿宋" w:cs="仿宋"/>
                <w:color w:val="auto"/>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jc w:val="center"/>
        </w:trPr>
        <w:tc>
          <w:tcPr>
            <w:tcW w:w="475" w:type="dxa"/>
            <w:vAlign w:val="center"/>
          </w:tcPr>
          <w:p>
            <w:pPr>
              <w:snapToGrid w:val="0"/>
              <w:jc w:val="center"/>
              <w:rPr>
                <w:rFonts w:hint="eastAsia" w:eastAsiaTheme="minorEastAsia"/>
                <w:spacing w:val="-12"/>
                <w:sz w:val="24"/>
                <w:lang w:eastAsia="zh-CN"/>
              </w:rPr>
            </w:pPr>
            <w:r>
              <w:rPr>
                <w:rFonts w:hint="eastAsia"/>
                <w:spacing w:val="-12"/>
                <w:sz w:val="24"/>
                <w:lang w:val="en-US" w:eastAsia="zh-CN"/>
              </w:rPr>
              <w:t>6</w:t>
            </w:r>
          </w:p>
        </w:tc>
        <w:tc>
          <w:tcPr>
            <w:tcW w:w="5453" w:type="dxa"/>
            <w:vAlign w:val="center"/>
          </w:tcPr>
          <w:p>
            <w:pPr>
              <w:snapToGrid w:val="0"/>
              <w:ind w:firstLine="432" w:firstLineChars="200"/>
              <w:jc w:val="left"/>
              <w:rPr>
                <w:rFonts w:hint="eastAsia" w:ascii="仿宋" w:hAnsi="仿宋" w:eastAsia="仿宋" w:cs="仿宋"/>
                <w:color w:val="auto"/>
                <w:spacing w:val="-12"/>
                <w:sz w:val="24"/>
              </w:rPr>
            </w:pPr>
            <w:r>
              <w:rPr>
                <w:rFonts w:hint="eastAsia" w:ascii="仿宋" w:hAnsi="仿宋" w:eastAsia="仿宋" w:cs="仿宋"/>
                <w:color w:val="auto"/>
                <w:spacing w:val="-12"/>
                <w:sz w:val="24"/>
                <w:lang w:val="en-US" w:eastAsia="zh-CN"/>
              </w:rPr>
              <w:t>学生安全稳定工作：学生突发事件的处理机制不够完善，学生心理健康教育和安全防范教育的可持续性不足。</w:t>
            </w:r>
          </w:p>
        </w:tc>
        <w:tc>
          <w:tcPr>
            <w:tcW w:w="1175"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学工办</w:t>
            </w:r>
          </w:p>
        </w:tc>
        <w:tc>
          <w:tcPr>
            <w:tcW w:w="5714" w:type="dxa"/>
            <w:vAlign w:val="center"/>
          </w:tcPr>
          <w:p>
            <w:pPr>
              <w:snapToGrid w:val="0"/>
              <w:ind w:firstLine="432" w:firstLineChars="200"/>
              <w:jc w:val="left"/>
              <w:rPr>
                <w:rFonts w:hint="eastAsia" w:ascii="仿宋" w:hAnsi="仿宋" w:eastAsia="仿宋" w:cs="仿宋"/>
                <w:color w:val="auto"/>
                <w:spacing w:val="-12"/>
                <w:sz w:val="24"/>
              </w:rPr>
            </w:pPr>
            <w:r>
              <w:rPr>
                <w:rFonts w:hint="eastAsia" w:ascii="仿宋" w:hAnsi="仿宋" w:eastAsia="仿宋" w:cs="仿宋"/>
                <w:color w:val="auto"/>
                <w:spacing w:val="-12"/>
                <w:sz w:val="24"/>
                <w:lang w:val="en-US" w:eastAsia="zh-CN"/>
              </w:rPr>
              <w:t>建立学生安全问题上报、研判、记录谈话制度，对于可能存在的晚归、心理、人际交往、学习工作、身体健康等方面的安全因素进行排查和处理，开展大学生心理健康教育测评谈话、大学生防诈骗、消防、反邪教等专题安全教育，筑牢学生安全稳定工作基础。</w:t>
            </w:r>
          </w:p>
        </w:tc>
        <w:tc>
          <w:tcPr>
            <w:tcW w:w="1636" w:type="dxa"/>
            <w:vAlign w:val="center"/>
          </w:tcPr>
          <w:p>
            <w:pPr>
              <w:jc w:val="center"/>
              <w:rPr>
                <w:rFonts w:hint="eastAsia" w:ascii="仿宋" w:hAnsi="仿宋" w:eastAsia="仿宋" w:cs="仿宋"/>
                <w:iCs/>
                <w:color w:val="auto"/>
                <w:sz w:val="24"/>
              </w:rPr>
            </w:pPr>
            <w:r>
              <w:rPr>
                <w:rFonts w:hint="eastAsia" w:ascii="仿宋" w:hAnsi="仿宋" w:eastAsia="仿宋" w:cs="仿宋"/>
                <w:iCs/>
                <w:color w:val="auto"/>
                <w:sz w:val="24"/>
                <w:lang w:val="en-US" w:eastAsia="zh-CN"/>
              </w:rPr>
              <w:t xml:space="preserve">10月31日          </w:t>
            </w:r>
          </w:p>
          <w:p>
            <w:pPr>
              <w:jc w:val="center"/>
              <w:rPr>
                <w:rFonts w:hint="eastAsia" w:ascii="仿宋" w:hAnsi="仿宋" w:eastAsia="仿宋" w:cs="仿宋"/>
                <w:color w:val="auto"/>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475" w:type="dxa"/>
            <w:vAlign w:val="center"/>
          </w:tcPr>
          <w:p>
            <w:pPr>
              <w:snapToGrid w:val="0"/>
              <w:jc w:val="center"/>
              <w:rPr>
                <w:rFonts w:hint="eastAsia" w:eastAsiaTheme="minorEastAsia"/>
                <w:spacing w:val="-12"/>
                <w:sz w:val="24"/>
                <w:lang w:eastAsia="zh-CN"/>
              </w:rPr>
            </w:pPr>
            <w:r>
              <w:rPr>
                <w:rFonts w:hint="eastAsia"/>
                <w:spacing w:val="-12"/>
                <w:sz w:val="24"/>
                <w:lang w:val="en-US" w:eastAsia="zh-CN"/>
              </w:rPr>
              <w:t>7</w:t>
            </w:r>
          </w:p>
        </w:tc>
        <w:tc>
          <w:tcPr>
            <w:tcW w:w="5453"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eastAsia="zh-CN"/>
              </w:rPr>
              <w:t>存在学生入党程序不规范、把关不严等问题</w:t>
            </w:r>
          </w:p>
        </w:tc>
        <w:tc>
          <w:tcPr>
            <w:tcW w:w="1175" w:type="dxa"/>
            <w:vAlign w:val="center"/>
          </w:tcPr>
          <w:p>
            <w:pPr>
              <w:snapToGrid w:val="0"/>
              <w:jc w:val="center"/>
              <w:rPr>
                <w:rFonts w:hint="eastAsia" w:ascii="仿宋" w:hAnsi="仿宋" w:eastAsia="仿宋" w:cs="仿宋"/>
                <w:color w:val="auto"/>
                <w:spacing w:val="-12"/>
                <w:sz w:val="24"/>
                <w:lang w:eastAsia="zh-CN"/>
              </w:rPr>
            </w:pPr>
            <w:r>
              <w:rPr>
                <w:rFonts w:hint="eastAsia" w:ascii="仿宋" w:hAnsi="仿宋" w:eastAsia="仿宋" w:cs="仿宋"/>
                <w:color w:val="auto"/>
                <w:spacing w:val="-12"/>
                <w:sz w:val="24"/>
                <w:lang w:eastAsia="zh-CN"/>
              </w:rPr>
              <w:t>学工办</w:t>
            </w:r>
          </w:p>
        </w:tc>
        <w:tc>
          <w:tcPr>
            <w:tcW w:w="5714" w:type="dxa"/>
            <w:vAlign w:val="center"/>
          </w:tcPr>
          <w:p>
            <w:pPr>
              <w:snapToGrid w:val="0"/>
              <w:ind w:firstLine="432" w:firstLineChars="20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eastAsia="zh-CN"/>
              </w:rPr>
              <w:t>严格落实学校学生党员发展程序，坚持党员发展政治标准第一的要求，按照成熟一个，发展一个的原则，严把学生党员发展关。</w:t>
            </w:r>
          </w:p>
        </w:tc>
        <w:tc>
          <w:tcPr>
            <w:tcW w:w="1636" w:type="dxa"/>
            <w:vAlign w:val="center"/>
          </w:tcPr>
          <w:p>
            <w:pPr>
              <w:snapToGrid w:val="0"/>
              <w:jc w:val="center"/>
              <w:rPr>
                <w:rFonts w:hint="eastAsia" w:ascii="仿宋" w:hAnsi="仿宋" w:eastAsia="仿宋" w:cs="仿宋"/>
                <w:iCs/>
                <w:color w:val="auto"/>
                <w:sz w:val="24"/>
                <w:lang w:eastAsia="zh-CN"/>
              </w:rPr>
            </w:pPr>
            <w:r>
              <w:rPr>
                <w:rFonts w:hint="eastAsia" w:ascii="仿宋" w:hAnsi="仿宋" w:eastAsia="仿宋" w:cs="仿宋"/>
                <w:color w:val="auto"/>
                <w:spacing w:val="-12"/>
                <w:sz w:val="24"/>
                <w:lang w:val="en-US" w:eastAsia="zh-CN"/>
              </w:rPr>
              <w:t>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jc w:val="center"/>
        </w:trPr>
        <w:tc>
          <w:tcPr>
            <w:tcW w:w="475" w:type="dxa"/>
            <w:vAlign w:val="center"/>
          </w:tcPr>
          <w:p>
            <w:pPr>
              <w:snapToGrid w:val="0"/>
              <w:jc w:val="center"/>
              <w:rPr>
                <w:rFonts w:hint="eastAsia"/>
                <w:spacing w:val="-12"/>
                <w:sz w:val="24"/>
                <w:lang w:val="en-US" w:eastAsia="zh-CN"/>
              </w:rPr>
            </w:pPr>
            <w:r>
              <w:rPr>
                <w:rFonts w:hint="eastAsia"/>
                <w:spacing w:val="-12"/>
                <w:sz w:val="24"/>
                <w:lang w:val="en-US" w:eastAsia="zh-CN"/>
              </w:rPr>
              <w:t>8</w:t>
            </w:r>
          </w:p>
        </w:tc>
        <w:tc>
          <w:tcPr>
            <w:tcW w:w="5453" w:type="dxa"/>
            <w:vAlign w:val="center"/>
          </w:tcPr>
          <w:p>
            <w:pPr>
              <w:snapToGrid w:val="0"/>
              <w:jc w:val="center"/>
              <w:rPr>
                <w:rFonts w:hint="eastAsia" w:ascii="仿宋" w:hAnsi="仿宋" w:eastAsia="仿宋" w:cs="仿宋"/>
                <w:color w:val="auto"/>
                <w:spacing w:val="-12"/>
                <w:sz w:val="24"/>
                <w:lang w:eastAsia="zh-CN"/>
              </w:rPr>
            </w:pPr>
            <w:r>
              <w:rPr>
                <w:rFonts w:hint="eastAsia" w:ascii="仿宋" w:hAnsi="仿宋" w:eastAsia="仿宋" w:cs="仿宋"/>
                <w:color w:val="auto"/>
                <w:spacing w:val="-12"/>
                <w:sz w:val="24"/>
                <w:lang w:eastAsia="zh-CN"/>
              </w:rPr>
              <w:t>存在一岗双责履行不够充分问题</w:t>
            </w:r>
          </w:p>
        </w:tc>
        <w:tc>
          <w:tcPr>
            <w:tcW w:w="1175" w:type="dxa"/>
            <w:vAlign w:val="center"/>
          </w:tcPr>
          <w:p>
            <w:pPr>
              <w:jc w:val="center"/>
              <w:rPr>
                <w:rFonts w:hint="eastAsia" w:ascii="仿宋" w:hAnsi="仿宋" w:eastAsia="仿宋" w:cs="仿宋"/>
                <w:color w:val="auto"/>
                <w:spacing w:val="-12"/>
                <w:sz w:val="24"/>
                <w:lang w:eastAsia="zh-CN"/>
              </w:rPr>
            </w:pPr>
            <w:r>
              <w:rPr>
                <w:rFonts w:hint="eastAsia" w:ascii="仿宋" w:hAnsi="仿宋" w:eastAsia="仿宋" w:cs="仿宋"/>
                <w:color w:val="auto"/>
                <w:spacing w:val="-12"/>
                <w:sz w:val="24"/>
                <w:lang w:eastAsia="zh-CN"/>
              </w:rPr>
              <w:t>院领导</w:t>
            </w:r>
          </w:p>
        </w:tc>
        <w:tc>
          <w:tcPr>
            <w:tcW w:w="5714" w:type="dxa"/>
            <w:vAlign w:val="center"/>
          </w:tcPr>
          <w:p>
            <w:pPr>
              <w:ind w:firstLine="432" w:firstLineChars="200"/>
              <w:jc w:val="left"/>
              <w:rPr>
                <w:rFonts w:hint="eastAsia" w:ascii="仿宋" w:hAnsi="仿宋" w:eastAsia="仿宋" w:cs="仿宋"/>
                <w:color w:val="auto"/>
                <w:spacing w:val="-12"/>
                <w:sz w:val="24"/>
                <w:lang w:eastAsia="zh-CN"/>
              </w:rPr>
            </w:pPr>
            <w:r>
              <w:rPr>
                <w:rFonts w:hint="eastAsia" w:ascii="仿宋" w:hAnsi="仿宋" w:eastAsia="仿宋" w:cs="仿宋"/>
                <w:color w:val="auto"/>
                <w:spacing w:val="-12"/>
                <w:sz w:val="24"/>
                <w:lang w:eastAsia="zh-CN"/>
              </w:rPr>
              <w:t>严格执行《廉政准则》和学校关于加强廉政建设有关要求，与分管科室签订《廉政建设目标责任书》并贯彻落实，切实履行好一岗双责。</w:t>
            </w:r>
          </w:p>
        </w:tc>
        <w:tc>
          <w:tcPr>
            <w:tcW w:w="1636"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475" w:type="dxa"/>
            <w:vAlign w:val="center"/>
          </w:tcPr>
          <w:p>
            <w:pPr>
              <w:snapToGrid w:val="0"/>
              <w:jc w:val="center"/>
              <w:rPr>
                <w:rFonts w:hint="eastAsia" w:eastAsiaTheme="minorEastAsia"/>
                <w:spacing w:val="-12"/>
                <w:sz w:val="24"/>
                <w:lang w:eastAsia="zh-CN"/>
              </w:rPr>
            </w:pPr>
            <w:r>
              <w:rPr>
                <w:rFonts w:hint="eastAsia"/>
                <w:spacing w:val="-12"/>
                <w:sz w:val="24"/>
                <w:lang w:val="en-US" w:eastAsia="zh-CN"/>
              </w:rPr>
              <w:t>9</w:t>
            </w:r>
          </w:p>
        </w:tc>
        <w:tc>
          <w:tcPr>
            <w:tcW w:w="5453"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研究生管理相关制度不够完善</w:t>
            </w:r>
          </w:p>
        </w:tc>
        <w:tc>
          <w:tcPr>
            <w:tcW w:w="1175" w:type="dxa"/>
            <w:vAlign w:val="center"/>
          </w:tcPr>
          <w:p>
            <w:pPr>
              <w:numPr>
                <w:ilvl w:val="0"/>
                <w:numId w:val="0"/>
              </w:num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研究生办</w:t>
            </w:r>
          </w:p>
        </w:tc>
        <w:tc>
          <w:tcPr>
            <w:tcW w:w="5714" w:type="dxa"/>
            <w:vAlign w:val="center"/>
          </w:tcPr>
          <w:p>
            <w:pPr>
              <w:numPr>
                <w:ilvl w:val="0"/>
                <w:numId w:val="0"/>
              </w:numPr>
              <w:snapToGrid w:val="0"/>
              <w:ind w:firstLine="432" w:firstLineChars="200"/>
              <w:jc w:val="left"/>
              <w:rPr>
                <w:rFonts w:hint="eastAsia" w:ascii="仿宋" w:hAnsi="仿宋" w:eastAsia="仿宋" w:cs="仿宋"/>
                <w:color w:val="auto"/>
                <w:spacing w:val="-12"/>
                <w:sz w:val="24"/>
                <w:lang w:eastAsia="zh-CN"/>
              </w:rPr>
            </w:pPr>
            <w:r>
              <w:rPr>
                <w:rFonts w:hint="eastAsia" w:ascii="仿宋" w:hAnsi="仿宋" w:eastAsia="仿宋" w:cs="仿宋"/>
                <w:color w:val="auto"/>
                <w:spacing w:val="-12"/>
                <w:sz w:val="24"/>
                <w:lang w:eastAsia="zh-CN"/>
              </w:rPr>
              <w:t>根据学校要求和学院实际情况，完善相关配套制度。</w:t>
            </w:r>
          </w:p>
        </w:tc>
        <w:tc>
          <w:tcPr>
            <w:tcW w:w="1636"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475" w:type="dxa"/>
            <w:vAlign w:val="center"/>
          </w:tcPr>
          <w:p>
            <w:pPr>
              <w:snapToGrid w:val="0"/>
              <w:jc w:val="center"/>
              <w:rPr>
                <w:rFonts w:hint="eastAsia"/>
                <w:spacing w:val="-12"/>
                <w:sz w:val="24"/>
                <w:lang w:val="en-US" w:eastAsia="zh-CN"/>
              </w:rPr>
            </w:pPr>
            <w:r>
              <w:rPr>
                <w:rFonts w:hint="eastAsia"/>
                <w:spacing w:val="-12"/>
                <w:sz w:val="24"/>
                <w:lang w:val="en-US" w:eastAsia="zh-CN"/>
              </w:rPr>
              <w:t>10</w:t>
            </w:r>
          </w:p>
        </w:tc>
        <w:tc>
          <w:tcPr>
            <w:tcW w:w="5453"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科研管理相关制度不够完善</w:t>
            </w:r>
          </w:p>
        </w:tc>
        <w:tc>
          <w:tcPr>
            <w:tcW w:w="1175" w:type="dxa"/>
            <w:vAlign w:val="center"/>
          </w:tcPr>
          <w:p>
            <w:pPr>
              <w:numPr>
                <w:ilvl w:val="0"/>
                <w:numId w:val="0"/>
              </w:num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科研办</w:t>
            </w:r>
          </w:p>
        </w:tc>
        <w:tc>
          <w:tcPr>
            <w:tcW w:w="5714" w:type="dxa"/>
            <w:vAlign w:val="center"/>
          </w:tcPr>
          <w:p>
            <w:pPr>
              <w:numPr>
                <w:ilvl w:val="0"/>
                <w:numId w:val="0"/>
              </w:numPr>
              <w:snapToGrid w:val="0"/>
              <w:ind w:left="0" w:leftChars="0" w:firstLine="432" w:firstLineChars="200"/>
              <w:jc w:val="left"/>
              <w:rPr>
                <w:rFonts w:hint="eastAsia" w:ascii="仿宋" w:hAnsi="仿宋" w:eastAsia="仿宋" w:cs="仿宋"/>
                <w:color w:val="auto"/>
                <w:spacing w:val="-12"/>
                <w:sz w:val="24"/>
                <w:lang w:eastAsia="zh-CN"/>
              </w:rPr>
            </w:pPr>
            <w:r>
              <w:rPr>
                <w:rFonts w:hint="eastAsia" w:ascii="仿宋" w:hAnsi="仿宋" w:eastAsia="仿宋" w:cs="仿宋"/>
                <w:color w:val="auto"/>
                <w:spacing w:val="-12"/>
                <w:sz w:val="24"/>
                <w:lang w:eastAsia="zh-CN"/>
              </w:rPr>
              <w:t>根据学校要求和学院实际情况，完善相关配套制度。</w:t>
            </w:r>
          </w:p>
        </w:tc>
        <w:tc>
          <w:tcPr>
            <w:tcW w:w="1636"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12月30日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475" w:type="dxa"/>
            <w:vAlign w:val="center"/>
          </w:tcPr>
          <w:p>
            <w:pPr>
              <w:snapToGrid w:val="0"/>
              <w:jc w:val="left"/>
              <w:rPr>
                <w:rFonts w:hint="eastAsia"/>
                <w:spacing w:val="-12"/>
                <w:sz w:val="24"/>
                <w:lang w:val="en-US" w:eastAsia="zh-CN"/>
              </w:rPr>
            </w:pPr>
            <w:r>
              <w:rPr>
                <w:rFonts w:hint="eastAsia" w:ascii="仿宋" w:hAnsi="仿宋" w:eastAsia="仿宋" w:cs="仿宋"/>
                <w:color w:val="auto"/>
                <w:spacing w:val="-12"/>
                <w:sz w:val="24"/>
                <w:lang w:val="en-US" w:eastAsia="zh-CN"/>
              </w:rPr>
              <w:t>11</w:t>
            </w:r>
          </w:p>
        </w:tc>
        <w:tc>
          <w:tcPr>
            <w:tcW w:w="5453"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开展教研室活动、支部党日活动不规范</w:t>
            </w:r>
          </w:p>
        </w:tc>
        <w:tc>
          <w:tcPr>
            <w:tcW w:w="1175" w:type="dxa"/>
            <w:vAlign w:val="center"/>
          </w:tcPr>
          <w:p>
            <w:pPr>
              <w:numPr>
                <w:ilvl w:val="0"/>
                <w:numId w:val="0"/>
              </w:num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各系</w:t>
            </w:r>
          </w:p>
          <w:p>
            <w:pPr>
              <w:numPr>
                <w:ilvl w:val="0"/>
                <w:numId w:val="0"/>
              </w:num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各支部</w:t>
            </w:r>
          </w:p>
        </w:tc>
        <w:tc>
          <w:tcPr>
            <w:tcW w:w="5714" w:type="dxa"/>
            <w:vAlign w:val="center"/>
          </w:tcPr>
          <w:p>
            <w:pPr>
              <w:numPr>
                <w:ilvl w:val="0"/>
                <w:numId w:val="0"/>
              </w:numPr>
              <w:snapToGrid w:val="0"/>
              <w:ind w:firstLine="432" w:firstLineChars="20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严格执行学校有关系、支部日常管理制度；加强对系、支部的监督和管理 。</w:t>
            </w:r>
          </w:p>
        </w:tc>
        <w:tc>
          <w:tcPr>
            <w:tcW w:w="1636"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11月30日</w:t>
            </w:r>
          </w:p>
          <w:p>
            <w:pPr>
              <w:snapToGrid w:val="0"/>
              <w:jc w:val="center"/>
              <w:rPr>
                <w:rFonts w:hint="eastAsia" w:ascii="仿宋" w:hAnsi="仿宋" w:eastAsia="仿宋" w:cs="仿宋"/>
                <w:color w:val="auto"/>
                <w:spacing w:val="-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jc w:val="center"/>
        </w:trPr>
        <w:tc>
          <w:tcPr>
            <w:tcW w:w="475" w:type="dxa"/>
            <w:vAlign w:val="center"/>
          </w:tcPr>
          <w:p>
            <w:pPr>
              <w:snapToGrid w:val="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12</w:t>
            </w:r>
          </w:p>
        </w:tc>
        <w:tc>
          <w:tcPr>
            <w:tcW w:w="5453" w:type="dxa"/>
            <w:vAlign w:val="center"/>
          </w:tcPr>
          <w:p>
            <w:pPr>
              <w:snapToGrid w:val="0"/>
              <w:ind w:firstLine="432" w:firstLineChars="20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团学工作：思想引领作用发挥不突出，共青团组织存在“官僚化、行政化、贵族化、娱乐化”问题。</w:t>
            </w:r>
          </w:p>
        </w:tc>
        <w:tc>
          <w:tcPr>
            <w:tcW w:w="1175"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院团委</w:t>
            </w:r>
          </w:p>
        </w:tc>
        <w:tc>
          <w:tcPr>
            <w:tcW w:w="5714" w:type="dxa"/>
            <w:vAlign w:val="center"/>
          </w:tcPr>
          <w:p>
            <w:pPr>
              <w:snapToGrid w:val="0"/>
              <w:ind w:firstLine="432" w:firstLineChars="20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强化团支部三会两制一课制度的落实和督查，安排团委委员、团总支书记定期检查学习记录，提高学习效果；进行体制改革，班长兼任团支部副书记，加强班团一体化建设；加强学生干部队伍的素质建设，推动基层学生干部的普选；加强对学生第二课堂活动的指导和审核，强化政治性，弱化娱乐性，突出思想引领作用。</w:t>
            </w:r>
          </w:p>
        </w:tc>
        <w:tc>
          <w:tcPr>
            <w:tcW w:w="1636" w:type="dxa"/>
            <w:vAlign w:val="center"/>
          </w:tcPr>
          <w:p>
            <w:pPr>
              <w:snapToGrid w:val="0"/>
              <w:ind w:firstLine="216" w:firstLineChars="10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10月31日</w:t>
            </w:r>
          </w:p>
          <w:p>
            <w:pPr>
              <w:snapToGrid w:val="0"/>
              <w:jc w:val="left"/>
              <w:rPr>
                <w:rFonts w:hint="eastAsia" w:ascii="仿宋" w:hAnsi="仿宋" w:eastAsia="仿宋" w:cs="仿宋"/>
                <w:color w:val="auto"/>
                <w:spacing w:val="-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475" w:type="dxa"/>
            <w:vAlign w:val="center"/>
          </w:tcPr>
          <w:p>
            <w:pPr>
              <w:snapToGrid w:val="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13</w:t>
            </w:r>
          </w:p>
        </w:tc>
        <w:tc>
          <w:tcPr>
            <w:tcW w:w="5453" w:type="dxa"/>
            <w:vAlign w:val="center"/>
          </w:tcPr>
          <w:p>
            <w:pPr>
              <w:snapToGrid w:val="0"/>
              <w:ind w:firstLine="432" w:firstLineChars="20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学生科技创新工作：科技创新的经费支持和师资指导以及科创奖励政策宣传力度有待进一步提升。</w:t>
            </w:r>
          </w:p>
        </w:tc>
        <w:tc>
          <w:tcPr>
            <w:tcW w:w="1175"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院团委</w:t>
            </w:r>
          </w:p>
        </w:tc>
        <w:tc>
          <w:tcPr>
            <w:tcW w:w="5714" w:type="dxa"/>
            <w:vAlign w:val="center"/>
          </w:tcPr>
          <w:p>
            <w:pPr>
              <w:snapToGrid w:val="0"/>
              <w:ind w:firstLine="432" w:firstLineChars="200"/>
              <w:jc w:val="left"/>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请示学院党委增加对大学生科技创新工作的投入力度，从经费上给与支持；成立学院科技创新指导工作组，为学生提供优质的指导；增加科创奖励政策宣传力度，利用学院网站、微信公众号、学生QQ群、主题班会、新生入学教育等方式开展宣传工作。</w:t>
            </w:r>
          </w:p>
        </w:tc>
        <w:tc>
          <w:tcPr>
            <w:tcW w:w="1636" w:type="dxa"/>
            <w:vAlign w:val="center"/>
          </w:tcPr>
          <w:p>
            <w:pPr>
              <w:snapToGrid w:val="0"/>
              <w:jc w:val="center"/>
              <w:rPr>
                <w:rFonts w:hint="eastAsia" w:ascii="仿宋" w:hAnsi="仿宋" w:eastAsia="仿宋" w:cs="仿宋"/>
                <w:color w:val="auto"/>
                <w:spacing w:val="-12"/>
                <w:sz w:val="24"/>
                <w:lang w:val="en-US" w:eastAsia="zh-CN"/>
              </w:rPr>
            </w:pPr>
            <w:r>
              <w:rPr>
                <w:rFonts w:hint="eastAsia" w:ascii="仿宋" w:hAnsi="仿宋" w:eastAsia="仿宋" w:cs="仿宋"/>
                <w:color w:val="auto"/>
                <w:spacing w:val="-12"/>
                <w:sz w:val="24"/>
                <w:lang w:val="en-US" w:eastAsia="zh-CN"/>
              </w:rPr>
              <w:t>11月30日</w:t>
            </w:r>
          </w:p>
          <w:p>
            <w:pPr>
              <w:snapToGrid w:val="0"/>
              <w:jc w:val="left"/>
              <w:rPr>
                <w:rFonts w:hint="eastAsia" w:ascii="仿宋" w:hAnsi="仿宋" w:eastAsia="仿宋" w:cs="仿宋"/>
                <w:color w:val="auto"/>
                <w:spacing w:val="-12"/>
                <w:sz w:val="24"/>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D0EF4"/>
    <w:rsid w:val="002E0F1F"/>
    <w:rsid w:val="002E7F20"/>
    <w:rsid w:val="009E63F2"/>
    <w:rsid w:val="0BEF0B4A"/>
    <w:rsid w:val="10E23229"/>
    <w:rsid w:val="160F64DA"/>
    <w:rsid w:val="16267474"/>
    <w:rsid w:val="190C65AE"/>
    <w:rsid w:val="1BE3770B"/>
    <w:rsid w:val="1DEF38B0"/>
    <w:rsid w:val="23193259"/>
    <w:rsid w:val="27065321"/>
    <w:rsid w:val="27753EFF"/>
    <w:rsid w:val="278A3DFB"/>
    <w:rsid w:val="28DF3F2E"/>
    <w:rsid w:val="2A9A14FE"/>
    <w:rsid w:val="34E4096C"/>
    <w:rsid w:val="3A966D70"/>
    <w:rsid w:val="3AB84635"/>
    <w:rsid w:val="3DC03A9F"/>
    <w:rsid w:val="3F640C10"/>
    <w:rsid w:val="41FE7DEF"/>
    <w:rsid w:val="42047800"/>
    <w:rsid w:val="453F380B"/>
    <w:rsid w:val="45C95504"/>
    <w:rsid w:val="49877EDF"/>
    <w:rsid w:val="5A2B4FC4"/>
    <w:rsid w:val="5CF96E1D"/>
    <w:rsid w:val="60B243F5"/>
    <w:rsid w:val="65F5604C"/>
    <w:rsid w:val="698D0EF4"/>
    <w:rsid w:val="6D535020"/>
    <w:rsid w:val="6EB5728E"/>
    <w:rsid w:val="72C611BC"/>
    <w:rsid w:val="74CD6252"/>
    <w:rsid w:val="7FA90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42</Words>
  <Characters>245</Characters>
  <Lines>2</Lines>
  <Paragraphs>1</Paragraphs>
  <TotalTime>3</TotalTime>
  <ScaleCrop>false</ScaleCrop>
  <LinksUpToDate>false</LinksUpToDate>
  <CharactersWithSpaces>286</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2018-11-09T09:34:00Z</dcterms:created>
  <dc:creator>Administrator</dc:creator>
  <cp:lastModifiedBy>Administrator</cp:lastModifiedBy>
  <cp:lastPrinted>2018-11-12T08:02:00Z</cp:lastPrinted>
  <dcterms:modified xsi:type="dcterms:W3CDTF">2018-11-13T01:40:00Z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